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2869" w14:textId="17EADCDE" w:rsidR="00265ADC" w:rsidRPr="00784BAD" w:rsidRDefault="001B7EE2" w:rsidP="00784BAD">
      <w:pPr>
        <w:spacing w:line="276" w:lineRule="auto"/>
        <w:ind w:left="0"/>
        <w:jc w:val="center"/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</w:pPr>
      <w:bookmarkStart w:id="0" w:name="_Hlk84612121"/>
      <w:r w:rsidRPr="00784BAD"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  <w:t>Abbattere le barriere alla crescita</w:t>
      </w:r>
      <w:r w:rsidR="0071472E" w:rsidRPr="00784BAD"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  <w:t>,</w:t>
      </w:r>
      <w:r w:rsidRPr="00784BAD"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  <w:t xml:space="preserve"> promuovere la</w:t>
      </w:r>
      <w:r w:rsidR="00265ADC" w:rsidRPr="00784BAD"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  <w:t xml:space="preserve"> capacità di</w:t>
      </w:r>
      <w:r w:rsidR="0071472E" w:rsidRPr="00784BAD"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  <w:t xml:space="preserve"> leadership </w:t>
      </w:r>
      <w:r w:rsidR="00265ADC" w:rsidRPr="00784BAD"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  <w:t>e misura</w:t>
      </w:r>
      <w:r w:rsidRPr="00784BAD"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  <w:t xml:space="preserve">re </w:t>
      </w:r>
      <w:r w:rsidR="00265ADC" w:rsidRPr="00784BAD"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  <w:t xml:space="preserve">i risultati </w:t>
      </w:r>
      <w:r w:rsidRPr="00784BAD"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  <w:t xml:space="preserve">ottenuti </w:t>
      </w:r>
      <w:r w:rsidR="00265ADC" w:rsidRPr="00784BAD"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  <w:t xml:space="preserve">sono elementi chiave per </w:t>
      </w:r>
      <w:proofErr w:type="spellStart"/>
      <w:r w:rsidR="00665E37" w:rsidRPr="00784BAD"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  <w:t>l’</w:t>
      </w:r>
      <w:r w:rsidR="00265ADC" w:rsidRPr="00784BAD"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  <w:t>e</w:t>
      </w:r>
      <w:r w:rsidR="0071472E" w:rsidRPr="00784BAD"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  <w:t>mpowerment</w:t>
      </w:r>
      <w:proofErr w:type="spellEnd"/>
      <w:r w:rsidR="00665E37" w:rsidRPr="00784BAD"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  <w:t xml:space="preserve"> femminile </w:t>
      </w:r>
      <w:r w:rsidR="00265ADC" w:rsidRPr="00784BAD"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  <w:t>nel</w:t>
      </w:r>
      <w:r w:rsidR="0071472E" w:rsidRPr="00784BAD">
        <w:rPr>
          <w:rFonts w:ascii="Arial" w:eastAsia="Calibri" w:hAnsi="Arial" w:cs="Arial"/>
          <w:b/>
          <w:bCs/>
          <w:color w:val="002060"/>
          <w:sz w:val="28"/>
          <w:szCs w:val="28"/>
          <w:lang w:val="it-IT"/>
        </w:rPr>
        <w:t xml:space="preserve"> business</w:t>
      </w:r>
    </w:p>
    <w:p w14:paraId="65921A30" w14:textId="77777777" w:rsidR="0071472E" w:rsidRPr="00784BAD" w:rsidRDefault="0071472E" w:rsidP="00892162">
      <w:pPr>
        <w:spacing w:line="240" w:lineRule="auto"/>
        <w:ind w:left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</w:p>
    <w:p w14:paraId="141DBDDC" w14:textId="5F5F6238" w:rsidR="00265ADC" w:rsidRPr="00784BAD" w:rsidRDefault="008357A4" w:rsidP="00892162">
      <w:pPr>
        <w:spacing w:before="0" w:line="240" w:lineRule="auto"/>
        <w:ind w:left="-17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  <w:r w:rsidRPr="00784BAD">
        <w:rPr>
          <w:rFonts w:ascii="Arial" w:eastAsia="Calibri" w:hAnsi="Arial" w:cs="Arial"/>
          <w:i/>
          <w:color w:val="002060"/>
          <w:sz w:val="21"/>
          <w:szCs w:val="21"/>
          <w:lang w:val="it-IT"/>
        </w:rPr>
        <w:t>Milano,</w:t>
      </w:r>
      <w:r w:rsidR="0071472E" w:rsidRPr="00784BAD">
        <w:rPr>
          <w:rFonts w:ascii="Arial" w:eastAsia="Calibri" w:hAnsi="Arial" w:cs="Arial"/>
          <w:i/>
          <w:color w:val="002060"/>
          <w:sz w:val="21"/>
          <w:szCs w:val="21"/>
          <w:lang w:val="it-IT"/>
        </w:rPr>
        <w:t xml:space="preserve"> 13 </w:t>
      </w:r>
      <w:r w:rsidR="00784BAD">
        <w:rPr>
          <w:rFonts w:ascii="Arial" w:eastAsia="Calibri" w:hAnsi="Arial" w:cs="Arial"/>
          <w:i/>
          <w:color w:val="002060"/>
          <w:sz w:val="21"/>
          <w:szCs w:val="21"/>
          <w:lang w:val="it-IT"/>
        </w:rPr>
        <w:t>o</w:t>
      </w:r>
      <w:r w:rsidR="00265ADC" w:rsidRPr="00784BAD">
        <w:rPr>
          <w:rFonts w:ascii="Arial" w:eastAsia="Calibri" w:hAnsi="Arial" w:cs="Arial"/>
          <w:i/>
          <w:color w:val="002060"/>
          <w:sz w:val="21"/>
          <w:szCs w:val="21"/>
          <w:lang w:val="it-IT"/>
        </w:rPr>
        <w:t>ttobre</w:t>
      </w:r>
      <w:r w:rsidR="0071472E" w:rsidRPr="00784BAD">
        <w:rPr>
          <w:rFonts w:ascii="Arial" w:eastAsia="Calibri" w:hAnsi="Arial" w:cs="Arial"/>
          <w:i/>
          <w:color w:val="002060"/>
          <w:sz w:val="21"/>
          <w:szCs w:val="21"/>
          <w:lang w:val="it-IT"/>
        </w:rPr>
        <w:t xml:space="preserve"> 2021</w:t>
      </w:r>
      <w:r w:rsidR="0071472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–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Nel corso dell’evento Best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Practices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Playbook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Launch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tenutosi ieri, il</w:t>
      </w:r>
      <w:r w:rsidR="00265ADC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G20 </w:t>
      </w:r>
      <w:proofErr w:type="spellStart"/>
      <w:r w:rsidR="00265ADC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Empower</w:t>
      </w:r>
      <w:proofErr w:type="spellEnd"/>
      <w:r w:rsidR="00265ADC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(</w:t>
      </w:r>
      <w:r w:rsidR="00784BAD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l</w:t>
      </w:r>
      <w:r w:rsidR="00265ADC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’Alleanza per l’Empowerment e la Promozione della Rappresentanza delle Donne nell’Economia)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ha presentato il “G20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Empower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Best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Practices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Playbook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2021</w:t>
      </w:r>
      <w:r w:rsidR="00784BAD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”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realizzato in </w:t>
      </w:r>
      <w:r w:rsidR="0071472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collabora</w:t>
      </w:r>
      <w:r w:rsidR="00265ADC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zione con </w:t>
      </w:r>
      <w:r w:rsidR="0071472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BCG, </w:t>
      </w:r>
      <w:r w:rsidR="00784BAD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u</w:t>
      </w:r>
      <w:r w:rsidR="00265ADC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no studio che raggruppa</w:t>
      </w:r>
      <w:r w:rsidR="0071472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="00265ADC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oltre 150 esperienze da 23 diversi paesi, fornendo esempi</w:t>
      </w:r>
      <w:r w:rsidR="0071472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="00265ADC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di poli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cy</w:t>
      </w:r>
      <w:r w:rsidR="00265ADC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aziendali </w:t>
      </w:r>
      <w:r w:rsidR="00265ADC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e azioni adottate nel settore privato per rafforzare l’impegno e le performance delle 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organizzazioni </w:t>
      </w:r>
      <w:r w:rsidR="00265ADC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nel</w:t>
      </w:r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la p</w:t>
      </w:r>
      <w:r w:rsidR="00265ADC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rom</w:t>
      </w:r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ozione </w:t>
      </w:r>
      <w:proofErr w:type="spellStart"/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del</w:t>
      </w:r>
      <w:r w:rsidR="00265ADC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l’</w:t>
      </w:r>
      <w:r w:rsidR="004D3C06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empowerment</w:t>
      </w:r>
      <w:proofErr w:type="spellEnd"/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="004D3C06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femminile </w:t>
      </w:r>
      <w:r w:rsidR="00265ADC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e </w:t>
      </w:r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del</w:t>
      </w:r>
      <w:r w:rsidR="00265ADC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l'avanzamento delle donne in posizioni di leadership. </w:t>
      </w:r>
    </w:p>
    <w:p w14:paraId="076D2268" w14:textId="77777777" w:rsidR="00265ADC" w:rsidRPr="00784BAD" w:rsidRDefault="00265ADC" w:rsidP="00892162">
      <w:pPr>
        <w:spacing w:before="0" w:line="240" w:lineRule="auto"/>
        <w:ind w:left="-17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</w:p>
    <w:p w14:paraId="08420213" w14:textId="5231B435" w:rsidR="0071472E" w:rsidRPr="00784BAD" w:rsidRDefault="00265ADC" w:rsidP="00892162">
      <w:pPr>
        <w:spacing w:before="0" w:line="240" w:lineRule="auto"/>
        <w:ind w:left="-17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Le</w:t>
      </w:r>
      <w:r w:rsidR="0071472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="004D3C06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“</w:t>
      </w:r>
      <w:r w:rsidR="0071472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best </w:t>
      </w:r>
      <w:proofErr w:type="spellStart"/>
      <w:r w:rsidR="0071472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practice</w:t>
      </w:r>
      <w:r w:rsidR="004D3C06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s</w:t>
      </w:r>
      <w:proofErr w:type="spellEnd"/>
      <w:r w:rsidR="004D3C06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”</w:t>
      </w:r>
      <w:r w:rsidR="0071472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sono focalizzate su tre aree di lavoro</w:t>
      </w:r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mirate a colmare il divario:</w:t>
      </w:r>
      <w:r w:rsidR="004D3C06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misurare </w:t>
      </w:r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per migliorare, 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abbattere le barriere alla crescita professionale delle donne</w:t>
      </w:r>
      <w:r w:rsidR="008357A4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e permettere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loro</w:t>
      </w:r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di 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essere realmente leader ne</w:t>
      </w:r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l futuro. Tra le best </w:t>
      </w:r>
      <w:proofErr w:type="spellStart"/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practice</w:t>
      </w:r>
      <w:proofErr w:type="spellEnd"/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analizzate nello studio condotto da BCG, l’area d’intervento principale riguarda l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’abbattimento delle barriere oggi esistenti per favorire l</w:t>
      </w:r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a costruzione d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i una vera </w:t>
      </w:r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pipelin</w:t>
      </w:r>
      <w:r w:rsidR="008357A4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e di talenti</w:t>
      </w:r>
      <w:r w:rsidR="004D3C06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femminil</w:t>
      </w:r>
      <w:r w:rsidR="008357A4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i </w:t>
      </w:r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(68% delle 134 organizzazioni analizzate), seguita da quella focalizzata </w:t>
      </w:r>
      <w:r w:rsidR="004D3C06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sulla promozione 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della futura leadership al femminile</w:t>
      </w:r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(19%) e, infine, la misurazione per il miglioramento delle performa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n</w:t>
      </w:r>
      <w:r w:rsidR="001044D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ce</w:t>
      </w:r>
      <w:r w:rsidR="0071472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(13%). </w:t>
      </w:r>
    </w:p>
    <w:p w14:paraId="550F33BA" w14:textId="77777777" w:rsidR="0071472E" w:rsidRPr="00784BAD" w:rsidRDefault="0071472E" w:rsidP="00892162">
      <w:pPr>
        <w:spacing w:before="0" w:line="240" w:lineRule="auto"/>
        <w:ind w:left="-17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</w:p>
    <w:p w14:paraId="09CE675B" w14:textId="1775593F" w:rsidR="0071472E" w:rsidRPr="00784BAD" w:rsidRDefault="001044DE" w:rsidP="00784BAD">
      <w:pPr>
        <w:spacing w:before="0" w:line="240" w:lineRule="auto"/>
        <w:ind w:left="-17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“Il lavoro svolto dal tavolo G20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Empower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è di grande importanza e ha dimostrato come la sinergia tra paesi,</w:t>
      </w:r>
      <w:r w:rsidR="00784BAD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settori ed esperienze diverse possa e debba diventare un valore da condividere. Le buone pratiche indicate</w:t>
      </w:r>
      <w:r w:rsidR="0065079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nel G20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Empower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Playbook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2021 e messe a disposizione si distinguono per l’approccio pragmatico tipico del</w:t>
      </w:r>
      <w:r w:rsidR="00784BAD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mondo delle imprese e possono essere adottate di tutti sin da subito per realizzare il cambiamento” commenta</w:t>
      </w:r>
      <w:r w:rsidR="0071472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Paola Mascaro, Chair G20 </w:t>
      </w:r>
      <w:proofErr w:type="spellStart"/>
      <w:r w:rsidR="0071472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Empower</w:t>
      </w:r>
      <w:proofErr w:type="spellEnd"/>
      <w:r w:rsidR="0071472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.</w:t>
      </w:r>
    </w:p>
    <w:p w14:paraId="23451D68" w14:textId="77777777" w:rsidR="0071472E" w:rsidRPr="00784BAD" w:rsidRDefault="0071472E" w:rsidP="00892162">
      <w:pPr>
        <w:spacing w:before="0" w:line="240" w:lineRule="auto"/>
        <w:ind w:left="0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</w:p>
    <w:p w14:paraId="38ACF51B" w14:textId="62CA481E" w:rsidR="00665E37" w:rsidRPr="00784BAD" w:rsidRDefault="00665E37" w:rsidP="00784BAD">
      <w:pPr>
        <w:spacing w:before="0" w:line="240" w:lineRule="auto"/>
        <w:ind w:left="-17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“Dal G20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Empower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Best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Practice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Playbook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emerge chiaramente che non esiste una sola regola e iniziativa</w:t>
      </w:r>
      <w:r w:rsidR="00784BAD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valida per tutti i contesti e i paesi”, commenta Laura Villani,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Managing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Director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e Partner di Boston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Consulting</w:t>
      </w:r>
      <w:proofErr w:type="spellEnd"/>
      <w:r w:rsidR="00784BAD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Group (BCG). “È fondamentale definire un portafoglio di iniziative di empowerment femminile, o più in</w:t>
      </w:r>
      <w:r w:rsidR="00784BAD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generale di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Diversity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&amp;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Inclusion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, che tengano conto degli obiettivi che si vogliono raggiungere e, allo stesso</w:t>
      </w:r>
      <w:r w:rsidR="00784BAD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tempo, misurare i risultati ottenuti. In questo senso, è indispensabile individuare gli indicatori da monitorare</w:t>
      </w:r>
      <w:r w:rsidR="00784BAD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nel tempo. Obiettivi, KPI e monitoraggio risultati sono, dunque, gli ingredienti essenziali da non dimenticare</w:t>
      </w:r>
      <w:r w:rsidR="00784BAD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per poter progredire nel percorso di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Diversity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&amp;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Inclusion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”.</w:t>
      </w:r>
    </w:p>
    <w:p w14:paraId="26D1255D" w14:textId="77777777" w:rsidR="0071472E" w:rsidRPr="00784BAD" w:rsidRDefault="0071472E" w:rsidP="00892162">
      <w:pPr>
        <w:spacing w:before="0" w:line="240" w:lineRule="auto"/>
        <w:ind w:left="0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</w:p>
    <w:p w14:paraId="7FA0BCCD" w14:textId="0D53551A" w:rsidR="0071472E" w:rsidRPr="00784BAD" w:rsidRDefault="00665E37" w:rsidP="00784BAD">
      <w:pPr>
        <w:spacing w:before="0" w:line="240" w:lineRule="auto"/>
        <w:ind w:left="-17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Guardando al livello di implementazione delle</w:t>
      </w:r>
      <w:r w:rsidR="004D3C06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varie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iniziative si nota che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il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55% delle organizzazioni che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si è attivata nell’abbattimento delle barriere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le ha poi 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portate a termine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. Il dato cresce fino al 58% per 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le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aziende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che stanno già implementando attività che consent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ano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alle donne di guidare il 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futuro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(58%). Infine, del 13% 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di quelle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che ha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nno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intrapreso iniziative per lo sviluppo di KPI e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per la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misurazione, due su tre (65%) hanno raggiunto un buon livello di avanzamento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dei progetti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. Le organizzazioni stanno allargando la target audience delle iniziative di empowerment femminile 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da un’audience di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sole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donne o principalmente 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di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donne (44% e 10%)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all’intera popolazione aziendale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(37%).</w:t>
      </w:r>
    </w:p>
    <w:p w14:paraId="19FBF2DB" w14:textId="0BED8D86" w:rsidR="007F6DC5" w:rsidRPr="00784BAD" w:rsidRDefault="00665E37" w:rsidP="00892162">
      <w:pPr>
        <w:spacing w:before="0" w:line="240" w:lineRule="auto"/>
        <w:ind w:left="-17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Le misure più </w:t>
      </w:r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diffuse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relative</w:t>
      </w:r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alle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="00472758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iniziative focalizzate sullo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sviluppo </w:t>
      </w:r>
      <w:r w:rsidR="00472758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della talent pipeline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, o eliminazione delle barriere,</w:t>
      </w:r>
      <w:r w:rsidR="00472758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sono le politiche per le </w:t>
      </w:r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pari opportunità</w:t>
      </w:r>
      <w:r w:rsidR="00472758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nelle assunzioni e nelle promozioni</w:t>
      </w:r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="00472758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(</w:t>
      </w:r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quote nelle liste di candidati o nella pianificazione della successione), riscontrate nel 44% delle best </w:t>
      </w:r>
      <w:proofErr w:type="spellStart"/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practice</w:t>
      </w:r>
      <w:proofErr w:type="spellEnd"/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, e i programmi per aumentare la consapevolezza riguardo all’esistenza di pregiudizi inconsci e, più in generale, riguardo al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la</w:t>
      </w:r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proofErr w:type="spellStart"/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Diversity</w:t>
      </w:r>
      <w:proofErr w:type="spellEnd"/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&amp; </w:t>
      </w:r>
      <w:proofErr w:type="spellStart"/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Inclusion</w:t>
      </w:r>
      <w:proofErr w:type="spellEnd"/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,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presenti nel 29% di esse. La maggior parte delle compagnie intervistate considerava la 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i</w:t>
      </w:r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pregiudizi inconsci e la cultura come i principali ostacoli 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all'avanzamento di carriera delle donne</w:t>
      </w:r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, pertanto l'implementazione di programmi che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ne</w:t>
      </w:r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rivelino la presenza e che </w:t>
      </w:r>
      <w:r w:rsidR="007F6DC5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lastRenderedPageBreak/>
        <w:t xml:space="preserve">impongano una pari considerazione nelle assunzioni e nelle promozioni potrebbe aiutare 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a rendere il percorso professionale meno impervio.</w:t>
      </w:r>
    </w:p>
    <w:p w14:paraId="2848399A" w14:textId="77777777" w:rsidR="007F6DC5" w:rsidRPr="00784BAD" w:rsidRDefault="007F6DC5" w:rsidP="00892162">
      <w:pPr>
        <w:autoSpaceDE w:val="0"/>
        <w:autoSpaceDN w:val="0"/>
        <w:adjustRightInd w:val="0"/>
        <w:spacing w:before="0" w:line="240" w:lineRule="auto"/>
        <w:ind w:left="-17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</w:p>
    <w:p w14:paraId="1C102A52" w14:textId="76A7E56C" w:rsidR="0071472E" w:rsidRPr="00784BAD" w:rsidRDefault="007F6DC5" w:rsidP="00892162">
      <w:pPr>
        <w:autoSpaceDE w:val="0"/>
        <w:autoSpaceDN w:val="0"/>
        <w:adjustRightInd w:val="0"/>
        <w:spacing w:before="0" w:line="240" w:lineRule="auto"/>
        <w:ind w:left="-17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Programmi di sviluppo specifici e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mentoring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per le donne figuravano nel 18% delle best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practice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, mentre la creazione di comunità dove le donne possano avere opportunità di networking ed essere ispirate da figure di riferimento femmin</w:t>
      </w:r>
      <w:r w:rsidR="003E726A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ili caratterizzava il 14% delle best </w:t>
      </w:r>
      <w:proofErr w:type="spellStart"/>
      <w:r w:rsidR="003E726A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practice</w:t>
      </w:r>
      <w:proofErr w:type="spellEnd"/>
      <w:r w:rsidR="003E726A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. Entrambe queste pratiche sono associate ad alti livelli di implementazione (rispettivamente completate nel 76% e 71% dei casi) e sono accompagnate da una o due altre iniziative. Infatti, una delle principali sfide per le donne, come evidenziato nelle interviste, è il senso di incertezza, la paura di parlare apertamente, o accettare incarichi sfidanti senza essere sicure di possedere le giuste competenze. 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È necessario che siano</w:t>
      </w:r>
      <w:r w:rsidR="003E726A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in grado di supportar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si</w:t>
      </w:r>
      <w:r w:rsidR="003E726A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a vicenda, di essere guidate da senior leader che credono in loro, e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di</w:t>
      </w:r>
      <w:r w:rsidR="003E726A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essere ispirate da figure di riferimento che accrescano il loro self-empowerment.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="003E726A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Uno degli aspetti fondamentali (maggiormente apprezzato dalle donne e tendenzialmente sottovalutato dai leader) sono le politiche parentali</w:t>
      </w:r>
      <w:r w:rsidR="0071472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, </w:t>
      </w:r>
      <w:r w:rsidR="003E726A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presenti nel 13% del campione totale</w:t>
      </w:r>
      <w:r w:rsidR="0071472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.</w:t>
      </w:r>
    </w:p>
    <w:p w14:paraId="33344A95" w14:textId="77777777" w:rsidR="0071472E" w:rsidRPr="00784BAD" w:rsidRDefault="0071472E" w:rsidP="00892162">
      <w:pPr>
        <w:spacing w:before="0" w:line="240" w:lineRule="auto"/>
        <w:ind w:left="-17"/>
        <w:jc w:val="both"/>
        <w:rPr>
          <w:rFonts w:ascii="Arial" w:eastAsia="Calibri" w:hAnsi="Arial" w:cs="Arial"/>
          <w:b/>
          <w:bCs/>
          <w:iCs/>
          <w:color w:val="002060"/>
          <w:sz w:val="21"/>
          <w:szCs w:val="21"/>
          <w:lang w:val="it-IT"/>
        </w:rPr>
      </w:pPr>
    </w:p>
    <w:p w14:paraId="781DF1D8" w14:textId="75EC2385" w:rsidR="0071472E" w:rsidRPr="00784BAD" w:rsidRDefault="003E726A" w:rsidP="00892162">
      <w:pPr>
        <w:spacing w:before="0" w:line="240" w:lineRule="auto"/>
        <w:ind w:left="-17"/>
        <w:jc w:val="both"/>
        <w:rPr>
          <w:rFonts w:ascii="Arial" w:eastAsia="Calibri" w:hAnsi="Arial" w:cs="Arial"/>
          <w:b/>
          <w:bCs/>
          <w:iCs/>
          <w:color w:val="002060"/>
          <w:sz w:val="21"/>
          <w:szCs w:val="21"/>
          <w:lang w:val="it-IT"/>
        </w:rPr>
      </w:pPr>
      <w:r w:rsidRPr="00784BAD">
        <w:rPr>
          <w:rFonts w:ascii="Arial" w:eastAsia="Calibri" w:hAnsi="Arial" w:cs="Arial"/>
          <w:b/>
          <w:bCs/>
          <w:iCs/>
          <w:color w:val="002060"/>
          <w:sz w:val="21"/>
          <w:szCs w:val="21"/>
          <w:lang w:val="it-IT"/>
        </w:rPr>
        <w:t>Come migliorare la</w:t>
      </w:r>
      <w:r w:rsidR="0071472E" w:rsidRPr="00784BAD">
        <w:rPr>
          <w:rFonts w:ascii="Arial" w:eastAsia="Calibri" w:hAnsi="Arial" w:cs="Arial"/>
          <w:b/>
          <w:bCs/>
          <w:iCs/>
          <w:color w:val="002060"/>
          <w:sz w:val="21"/>
          <w:szCs w:val="21"/>
          <w:lang w:val="it-IT"/>
        </w:rPr>
        <w:t xml:space="preserve"> leadership </w:t>
      </w:r>
      <w:r w:rsidRPr="00784BAD">
        <w:rPr>
          <w:rFonts w:ascii="Arial" w:eastAsia="Calibri" w:hAnsi="Arial" w:cs="Arial"/>
          <w:b/>
          <w:bCs/>
          <w:iCs/>
          <w:color w:val="002060"/>
          <w:sz w:val="21"/>
          <w:szCs w:val="21"/>
          <w:lang w:val="it-IT"/>
        </w:rPr>
        <w:t>del futuro</w:t>
      </w:r>
      <w:r w:rsidR="0071472E" w:rsidRPr="00784BAD">
        <w:rPr>
          <w:rFonts w:ascii="Arial" w:eastAsia="Calibri" w:hAnsi="Arial" w:cs="Arial"/>
          <w:b/>
          <w:bCs/>
          <w:iCs/>
          <w:color w:val="002060"/>
          <w:sz w:val="21"/>
          <w:szCs w:val="21"/>
          <w:lang w:val="it-IT"/>
        </w:rPr>
        <w:t xml:space="preserve">? </w:t>
      </w:r>
    </w:p>
    <w:p w14:paraId="7B082FEF" w14:textId="116A3C70" w:rsidR="003E726A" w:rsidRPr="00784BAD" w:rsidRDefault="003E726A" w:rsidP="00892162">
      <w:pPr>
        <w:spacing w:before="0" w:line="240" w:lineRule="auto"/>
        <w:ind w:left="-17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Le best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practice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sono focalizzate su misure che promuov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o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no le competenze e le qualifiche necessarie 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affinché</w:t>
      </w:r>
      <w:r w:rsidR="00095691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le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donne </w:t>
      </w:r>
      <w:r w:rsidR="00095691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possano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="00095691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fare da guida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nel nuovo mondo</w:t>
      </w:r>
      <w:r w:rsidR="00095691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,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dove le questioni legate alla tecnologia, alla digitalizzazione e alla sostenibilità sono </w:t>
      </w:r>
      <w:r w:rsidR="00095691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all’ordine del giorno. </w:t>
      </w:r>
    </w:p>
    <w:p w14:paraId="38F73B4F" w14:textId="6ED5B1FE" w:rsidR="003E726A" w:rsidRPr="00784BAD" w:rsidRDefault="00095691" w:rsidP="00892162">
      <w:pPr>
        <w:spacing w:before="0" w:line="240" w:lineRule="auto"/>
        <w:ind w:left="0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Il 58% delle best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practice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di questo gruppo riguardava lo sviluppo delle soft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skills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e delle leadership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skills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. Caratteristiche ricorrenti nelle best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practice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focalizzate nel favorire le donne a guidare il futuro sono il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coaching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individuale e il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mentoring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, accompagnati da opportunità di networking (presente nel 35% delle best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practice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) e hard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skills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per i manager e gli imprenditori (rilevate nel 23% delle best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practice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).</w:t>
      </w:r>
    </w:p>
    <w:p w14:paraId="1DAD6548" w14:textId="20134A6F" w:rsidR="00095691" w:rsidRPr="00784BAD" w:rsidRDefault="00095691" w:rsidP="00892162">
      <w:pPr>
        <w:spacing w:before="0" w:line="240" w:lineRule="auto"/>
        <w:ind w:left="0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</w:p>
    <w:p w14:paraId="46EB8CF3" w14:textId="2491ED8F" w:rsidR="0071472E" w:rsidRPr="00784BAD" w:rsidRDefault="00095691" w:rsidP="00892162">
      <w:pPr>
        <w:spacing w:before="0" w:line="240" w:lineRule="auto"/>
        <w:ind w:left="0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Infine, la misurazione per il miglioramento è implementata da poco più di un</w:t>
      </w:r>
      <w:r w:rsidR="001B7EE2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’azienda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su 10. Questi “pionieri” si focalizzano principalmente sulla definizione di KPI per il monitoraggio (41%), con un terzo di essi (35%) che ha già iniziato a monitorare l’andamento dei KPI per definire le azioni di miglioramento. In conclusione, il 24% delle best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pra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c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tice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di questo tipo ha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g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ià integrato i KPI in “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scorecard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” e schemi di retribuzione variabile.</w:t>
      </w:r>
    </w:p>
    <w:p w14:paraId="43DA38B1" w14:textId="4B13E38A" w:rsidR="00095691" w:rsidRPr="00784BAD" w:rsidRDefault="00095691" w:rsidP="00892162">
      <w:pPr>
        <w:spacing w:before="0" w:line="240" w:lineRule="auto"/>
        <w:ind w:left="0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Sebbene le best </w:t>
      </w:r>
      <w:proofErr w:type="spellStart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practice</w:t>
      </w:r>
      <w:proofErr w:type="spellEnd"/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relative alla “misurazione per migliorare” risultino meno frequenti nel gruppo analizzato,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al contempo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sono quelle che registrano il più alto tasso di implementazione (63% sono già state completate)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, i</w:t>
      </w:r>
      <w:r w:rsidR="004D3C06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l che suggerisce che questo dovrebbe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essere</w:t>
      </w:r>
      <w:r w:rsidR="004D3C06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il primo passo ad essere implementato.</w:t>
      </w:r>
    </w:p>
    <w:bookmarkEnd w:id="0"/>
    <w:p w14:paraId="37E90DC0" w14:textId="77777777" w:rsidR="004D3C06" w:rsidRPr="00784BAD" w:rsidRDefault="004D3C06" w:rsidP="00892162">
      <w:pPr>
        <w:spacing w:before="0" w:line="240" w:lineRule="auto"/>
        <w:ind w:left="0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</w:p>
    <w:p w14:paraId="5194CF77" w14:textId="3B109253" w:rsidR="0071472E" w:rsidRPr="00784BAD" w:rsidRDefault="004D3C06" w:rsidP="00892162">
      <w:pPr>
        <w:spacing w:before="0" w:line="240" w:lineRule="auto"/>
        <w:ind w:left="0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“Liberare il talento delle donne, accrescerne la presenza in posizioni apicali e arrivare ad un modello</w:t>
      </w:r>
      <w:r w:rsidR="008357A4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più inclusivo e giusto, a partire dal mondo del lavoro, la sfida che bisogna vincere per tracciare un futuro di ricco di opportunità, sviluppo e benessere per tutti. Ora non ci sono più scuse</w:t>
      </w:r>
      <w:r w:rsidR="00102A23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!</w:t>
      </w:r>
      <w:r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>” conclude</w:t>
      </w:r>
      <w:r w:rsidR="0071472E" w:rsidRPr="00784BAD">
        <w:rPr>
          <w:rFonts w:ascii="Arial" w:eastAsia="Calibri" w:hAnsi="Arial" w:cs="Arial"/>
          <w:iCs/>
          <w:color w:val="002060"/>
          <w:sz w:val="21"/>
          <w:szCs w:val="21"/>
          <w:lang w:val="it-IT"/>
        </w:rPr>
        <w:t xml:space="preserve"> Paola Mascaro.</w:t>
      </w:r>
    </w:p>
    <w:p w14:paraId="756E8BD7" w14:textId="7EC12F73" w:rsidR="00CB0626" w:rsidRPr="00784BAD" w:rsidRDefault="00784BAD" w:rsidP="008357A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-17"/>
        <w:jc w:val="both"/>
        <w:rPr>
          <w:rFonts w:ascii="Arial" w:eastAsia="Calibri" w:hAnsi="Arial" w:cs="Arial"/>
          <w:iCs/>
          <w:color w:val="002060"/>
          <w:sz w:val="21"/>
          <w:szCs w:val="21"/>
          <w:lang w:val="it-IT"/>
        </w:rPr>
      </w:pPr>
      <w:r w:rsidRPr="00784BAD"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B24795C" wp14:editId="763E1FCB">
                <wp:simplePos x="0" y="0"/>
                <wp:positionH relativeFrom="column">
                  <wp:posOffset>-122576</wp:posOffset>
                </wp:positionH>
                <wp:positionV relativeFrom="paragraph">
                  <wp:posOffset>190500</wp:posOffset>
                </wp:positionV>
                <wp:extent cx="6387715" cy="781779"/>
                <wp:effectExtent l="12700" t="12700" r="13335" b="1841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715" cy="78177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B63D2" w14:textId="5E55C53E" w:rsidR="00784BAD" w:rsidRPr="00784BAD" w:rsidRDefault="00784BAD" w:rsidP="00784BAD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4795C" id="Rettangolo 8" o:spid="_x0000_s1026" style="position:absolute;left:0;text-align:left;margin-left:-9.65pt;margin-top:15pt;width:502.95pt;height:6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" filled="f" strokecolor="#002060" strokeweight="1.5pt">
                <v:textbox>
                  <w:txbxContent>
                    <w:p w14:paraId="77EB63D2" w14:textId="5E55C53E" w:rsidR="00784BAD" w:rsidRPr="00784BAD" w:rsidRDefault="00784BAD" w:rsidP="00784BAD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14:paraId="21433411" w14:textId="24D0F12E" w:rsidR="00D82F12" w:rsidRPr="00784BAD" w:rsidRDefault="00D82F12" w:rsidP="00D82F12">
      <w:pPr>
        <w:spacing w:line="240" w:lineRule="auto"/>
        <w:ind w:hanging="15"/>
        <w:jc w:val="both"/>
        <w:rPr>
          <w:rFonts w:ascii="Arial" w:eastAsia="Calibri" w:hAnsi="Arial" w:cs="Arial"/>
          <w:color w:val="002060"/>
          <w:sz w:val="16"/>
          <w:szCs w:val="16"/>
          <w:lang w:val="it-IT"/>
        </w:rPr>
      </w:pPr>
      <w:r w:rsidRPr="00784BAD">
        <w:rPr>
          <w:rFonts w:ascii="Arial" w:eastAsia="Calibri" w:hAnsi="Arial" w:cs="Arial"/>
          <w:color w:val="002060"/>
          <w:sz w:val="16"/>
          <w:szCs w:val="16"/>
          <w:lang w:val="it-IT"/>
        </w:rPr>
        <w:t>Il G20 EMPOWER è stat</w:t>
      </w:r>
      <w:r w:rsidR="00892162" w:rsidRPr="00784BAD">
        <w:rPr>
          <w:rFonts w:ascii="Arial" w:eastAsia="Calibri" w:hAnsi="Arial" w:cs="Arial"/>
          <w:color w:val="002060"/>
          <w:sz w:val="16"/>
          <w:szCs w:val="16"/>
          <w:lang w:val="it-IT"/>
        </w:rPr>
        <w:t>o</w:t>
      </w:r>
      <w:r w:rsidRPr="00784BAD">
        <w:rPr>
          <w:rFonts w:ascii="Arial" w:eastAsia="Calibri" w:hAnsi="Arial" w:cs="Arial"/>
          <w:color w:val="002060"/>
          <w:sz w:val="16"/>
          <w:szCs w:val="16"/>
          <w:lang w:val="it-IT"/>
        </w:rPr>
        <w:t xml:space="preserve"> lanciato al vertice del G20 di Osaka, in Giappone, su proposta del Canada. Durante la Presidenza italiana, il G20 EMPOWER è guidato da Paola Mascaro, Presidente di Valore D, con il supporto del Dipartimento per le Pari Opportunità. L'alleanza ha lo scopo di costruire e mantenere una rete all'interno del settore privato per identificare le sfide, condividere le lezioni apprese e le buone pratiche per l’avanzamento della leadership femminile. Il G20 EMPOWER sta lavorando per portare le proprie proposte al vertice dei Leader del G20.</w:t>
      </w:r>
    </w:p>
    <w:p w14:paraId="01AD87CB" w14:textId="77777777" w:rsidR="00784BAD" w:rsidRPr="00784BAD" w:rsidRDefault="00784BAD" w:rsidP="00D82F1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rPr>
          <w:rFonts w:ascii="Arial" w:hAnsi="Arial" w:cs="Arial"/>
          <w:color w:val="D23438"/>
          <w:sz w:val="15"/>
          <w:szCs w:val="15"/>
          <w:lang w:val="it-IT"/>
        </w:rPr>
      </w:pPr>
    </w:p>
    <w:p w14:paraId="6891CC7D" w14:textId="77777777" w:rsidR="00784BAD" w:rsidRDefault="00784BAD" w:rsidP="00D82F1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rPr>
          <w:rFonts w:ascii="Arial" w:eastAsia="Calibri" w:hAnsi="Arial" w:cs="Arial"/>
          <w:color w:val="002060"/>
          <w:sz w:val="16"/>
          <w:szCs w:val="16"/>
          <w:lang w:val="it-IT"/>
        </w:rPr>
      </w:pPr>
    </w:p>
    <w:p w14:paraId="19A88012" w14:textId="77777777" w:rsidR="00784BAD" w:rsidRDefault="00784BAD" w:rsidP="00D82F1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rPr>
          <w:rFonts w:ascii="Arial" w:eastAsia="Calibri" w:hAnsi="Arial" w:cs="Arial"/>
          <w:color w:val="002060"/>
          <w:sz w:val="16"/>
          <w:szCs w:val="16"/>
          <w:lang w:val="it-IT"/>
        </w:rPr>
      </w:pPr>
    </w:p>
    <w:p w14:paraId="3C792379" w14:textId="7045DFA5" w:rsidR="00D82F12" w:rsidRPr="00784BAD" w:rsidRDefault="00D82F12" w:rsidP="00D82F1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rPr>
          <w:rFonts w:ascii="Arial" w:eastAsia="Calibri" w:hAnsi="Arial" w:cs="Arial"/>
          <w:color w:val="002060"/>
          <w:sz w:val="16"/>
          <w:szCs w:val="16"/>
          <w:lang w:val="it-IT"/>
        </w:rPr>
      </w:pPr>
      <w:r w:rsidRPr="00784BAD">
        <w:rPr>
          <w:rFonts w:ascii="Arial" w:eastAsia="Calibri" w:hAnsi="Arial" w:cs="Arial"/>
          <w:color w:val="002060"/>
          <w:sz w:val="16"/>
          <w:szCs w:val="16"/>
          <w:lang w:val="it-IT"/>
        </w:rPr>
        <w:t>Per informazioni:</w:t>
      </w:r>
    </w:p>
    <w:p w14:paraId="0E52B4F9" w14:textId="2CB168FB" w:rsidR="00D82F12" w:rsidRPr="00784BAD" w:rsidRDefault="00D82F12" w:rsidP="00D82F1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Calibri" w:hAnsi="Arial" w:cs="Arial"/>
          <w:color w:val="002060"/>
          <w:sz w:val="16"/>
          <w:szCs w:val="16"/>
          <w:lang w:val="it-IT"/>
        </w:rPr>
      </w:pPr>
      <w:r w:rsidRPr="00784BAD">
        <w:rPr>
          <w:rFonts w:ascii="Arial" w:eastAsia="Calibri" w:hAnsi="Arial" w:cs="Arial"/>
          <w:color w:val="002060"/>
          <w:sz w:val="16"/>
          <w:szCs w:val="16"/>
          <w:lang w:val="it-IT"/>
        </w:rPr>
        <w:t>Paola Trotta</w:t>
      </w:r>
    </w:p>
    <w:p w14:paraId="15F56A09" w14:textId="2530A965" w:rsidR="00D82F12" w:rsidRPr="00784BAD" w:rsidRDefault="00D82F12" w:rsidP="00D82F12">
      <w:pPr>
        <w:spacing w:before="0" w:line="240" w:lineRule="auto"/>
        <w:ind w:left="-17"/>
        <w:rPr>
          <w:rFonts w:ascii="Arial" w:eastAsia="Calibri" w:hAnsi="Arial" w:cs="Arial"/>
          <w:color w:val="002060"/>
          <w:sz w:val="16"/>
          <w:szCs w:val="16"/>
          <w:lang w:val="it-IT"/>
        </w:rPr>
      </w:pPr>
      <w:r w:rsidRPr="00784BAD">
        <w:rPr>
          <w:rFonts w:ascii="Arial" w:eastAsia="Calibri" w:hAnsi="Arial" w:cs="Arial"/>
          <w:color w:val="002060"/>
          <w:sz w:val="16"/>
          <w:szCs w:val="16"/>
          <w:lang w:val="it-IT"/>
        </w:rPr>
        <w:t>Comunicazione e Public Affairs</w:t>
      </w:r>
    </w:p>
    <w:p w14:paraId="02F189E1" w14:textId="1B2E5099" w:rsidR="00D82F12" w:rsidRPr="00784BAD" w:rsidRDefault="00A827CB" w:rsidP="00D82F12">
      <w:pPr>
        <w:spacing w:before="0" w:line="240" w:lineRule="auto"/>
        <w:ind w:left="-17"/>
        <w:jc w:val="both"/>
        <w:rPr>
          <w:rFonts w:ascii="Arial" w:eastAsia="Calibri" w:hAnsi="Arial" w:cs="Arial"/>
          <w:color w:val="002060"/>
          <w:sz w:val="16"/>
          <w:szCs w:val="16"/>
          <w:lang w:val="it-IT"/>
        </w:rPr>
      </w:pPr>
      <w:hyperlink r:id="rId7">
        <w:r w:rsidR="00D82F12" w:rsidRPr="00784BAD">
          <w:rPr>
            <w:rFonts w:ascii="Arial" w:eastAsia="Calibri" w:hAnsi="Arial" w:cs="Arial"/>
            <w:color w:val="002060"/>
            <w:sz w:val="16"/>
            <w:szCs w:val="16"/>
            <w:lang w:val="it-IT"/>
          </w:rPr>
          <w:t>paola.trotta@valored.it</w:t>
        </w:r>
      </w:hyperlink>
    </w:p>
    <w:p w14:paraId="07432F78" w14:textId="77777777" w:rsidR="00D82F12" w:rsidRPr="00784BAD" w:rsidRDefault="00D82F12" w:rsidP="00D82F12">
      <w:pPr>
        <w:spacing w:before="0" w:line="240" w:lineRule="auto"/>
        <w:ind w:left="-17"/>
        <w:jc w:val="both"/>
        <w:rPr>
          <w:rFonts w:ascii="Arial" w:eastAsia="Calibri" w:hAnsi="Arial" w:cs="Arial"/>
          <w:color w:val="002060"/>
          <w:sz w:val="16"/>
          <w:szCs w:val="16"/>
          <w:lang w:val="it-IT"/>
        </w:rPr>
      </w:pPr>
      <w:r w:rsidRPr="00784BAD">
        <w:rPr>
          <w:rFonts w:ascii="Arial" w:eastAsia="Calibri" w:hAnsi="Arial" w:cs="Arial"/>
          <w:color w:val="002060"/>
          <w:sz w:val="16"/>
          <w:szCs w:val="16"/>
          <w:lang w:val="it-IT"/>
        </w:rPr>
        <w:t>+39 379 1551887</w:t>
      </w:r>
    </w:p>
    <w:p w14:paraId="3780C0F3" w14:textId="77777777" w:rsidR="00D82F12" w:rsidRPr="00784BAD" w:rsidRDefault="00D82F12" w:rsidP="00D82F12">
      <w:pPr>
        <w:spacing w:before="0" w:line="240" w:lineRule="auto"/>
        <w:ind w:left="-17"/>
        <w:jc w:val="both"/>
        <w:rPr>
          <w:rFonts w:ascii="Arial" w:eastAsia="Calibri" w:hAnsi="Arial" w:cs="Arial"/>
          <w:color w:val="002060"/>
          <w:sz w:val="16"/>
          <w:szCs w:val="16"/>
          <w:lang w:val="it-IT"/>
        </w:rPr>
      </w:pPr>
    </w:p>
    <w:p w14:paraId="6176F725" w14:textId="77777777" w:rsidR="00D82F12" w:rsidRPr="00784BAD" w:rsidRDefault="00D82F12" w:rsidP="00D82F12">
      <w:pPr>
        <w:spacing w:before="0" w:line="240" w:lineRule="auto"/>
        <w:ind w:left="-17"/>
        <w:jc w:val="both"/>
        <w:rPr>
          <w:rFonts w:ascii="Arial" w:eastAsia="Calibri" w:hAnsi="Arial" w:cs="Arial"/>
          <w:color w:val="002060"/>
          <w:sz w:val="16"/>
          <w:szCs w:val="16"/>
          <w:lang w:val="it-IT"/>
        </w:rPr>
      </w:pPr>
      <w:r w:rsidRPr="00784BAD">
        <w:rPr>
          <w:rFonts w:ascii="Arial" w:eastAsia="Calibri" w:hAnsi="Arial" w:cs="Arial"/>
          <w:color w:val="002060"/>
          <w:sz w:val="16"/>
          <w:szCs w:val="16"/>
          <w:lang w:val="it-IT"/>
        </w:rPr>
        <w:t>Ariel Mafai Giorgi</w:t>
      </w:r>
    </w:p>
    <w:p w14:paraId="2BF41EEF" w14:textId="77777777" w:rsidR="00D82F12" w:rsidRPr="00784BAD" w:rsidRDefault="00D82F12" w:rsidP="00D82F12">
      <w:pPr>
        <w:spacing w:before="0" w:line="240" w:lineRule="auto"/>
        <w:ind w:left="-17"/>
        <w:jc w:val="both"/>
        <w:rPr>
          <w:rFonts w:ascii="Arial" w:eastAsia="Calibri" w:hAnsi="Arial" w:cs="Arial"/>
          <w:color w:val="002060"/>
          <w:sz w:val="16"/>
          <w:szCs w:val="16"/>
          <w:lang w:val="it-IT"/>
        </w:rPr>
      </w:pPr>
      <w:r w:rsidRPr="00784BAD">
        <w:rPr>
          <w:rFonts w:ascii="Arial" w:eastAsia="Calibri" w:hAnsi="Arial" w:cs="Arial"/>
          <w:color w:val="002060"/>
          <w:sz w:val="16"/>
          <w:szCs w:val="16"/>
          <w:lang w:val="it-IT"/>
        </w:rPr>
        <w:t>Ufficio Stampa</w:t>
      </w:r>
    </w:p>
    <w:p w14:paraId="4F537E28" w14:textId="77777777" w:rsidR="00D82F12" w:rsidRPr="00784BAD" w:rsidRDefault="00A827CB" w:rsidP="00D82F12">
      <w:pPr>
        <w:spacing w:before="0" w:line="240" w:lineRule="auto"/>
        <w:ind w:left="-17"/>
        <w:jc w:val="both"/>
        <w:rPr>
          <w:rFonts w:ascii="Arial" w:eastAsia="Calibri" w:hAnsi="Arial" w:cs="Arial"/>
          <w:color w:val="002060"/>
          <w:sz w:val="16"/>
          <w:szCs w:val="16"/>
          <w:lang w:val="it-IT"/>
        </w:rPr>
      </w:pPr>
      <w:hyperlink r:id="rId8">
        <w:r w:rsidR="00D82F12" w:rsidRPr="00784BAD">
          <w:rPr>
            <w:rFonts w:ascii="Arial" w:eastAsia="Calibri" w:hAnsi="Arial" w:cs="Arial"/>
            <w:color w:val="002060"/>
            <w:sz w:val="16"/>
            <w:szCs w:val="16"/>
            <w:lang w:val="it-IT"/>
          </w:rPr>
          <w:t>ariel.mafai@valored.it</w:t>
        </w:r>
      </w:hyperlink>
    </w:p>
    <w:p w14:paraId="56EABB48" w14:textId="71925676" w:rsidR="0071472E" w:rsidRPr="00784BAD" w:rsidRDefault="00D82F12" w:rsidP="00784BAD">
      <w:pPr>
        <w:spacing w:before="0" w:line="240" w:lineRule="auto"/>
        <w:ind w:left="-17"/>
        <w:jc w:val="both"/>
        <w:rPr>
          <w:rFonts w:ascii="Arial" w:eastAsia="Calibri" w:hAnsi="Arial" w:cs="Arial"/>
          <w:color w:val="002060"/>
          <w:sz w:val="16"/>
          <w:szCs w:val="16"/>
        </w:rPr>
      </w:pPr>
      <w:r w:rsidRPr="00784BAD">
        <w:rPr>
          <w:rFonts w:ascii="Arial" w:eastAsia="Calibri" w:hAnsi="Arial" w:cs="Arial"/>
          <w:color w:val="002060"/>
          <w:sz w:val="16"/>
          <w:szCs w:val="16"/>
        </w:rPr>
        <w:t>+39 335 6489445</w:t>
      </w:r>
    </w:p>
    <w:sectPr w:rsidR="0071472E" w:rsidRPr="00784BAD" w:rsidSect="0071472E">
      <w:headerReference w:type="default" r:id="rId9"/>
      <w:footerReference w:type="default" r:id="rId10"/>
      <w:pgSz w:w="11900" w:h="16840"/>
      <w:pgMar w:top="209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6A2B" w14:textId="77777777" w:rsidR="00A827CB" w:rsidRDefault="00A827CB" w:rsidP="00464DE2">
      <w:pPr>
        <w:spacing w:before="0" w:line="240" w:lineRule="auto"/>
      </w:pPr>
      <w:r>
        <w:separator/>
      </w:r>
    </w:p>
  </w:endnote>
  <w:endnote w:type="continuationSeparator" w:id="0">
    <w:p w14:paraId="181C9E37" w14:textId="77777777" w:rsidR="00A827CB" w:rsidRDefault="00A827CB" w:rsidP="00464DE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CB94" w14:textId="77777777" w:rsidR="00464DE2" w:rsidRPr="00464DE2" w:rsidRDefault="007D687F">
    <w:pPr>
      <w:pStyle w:val="Pidipagina"/>
      <w:rPr>
        <w:rFonts w:ascii="Open Sans" w:hAnsi="Open Sans" w:cs="Open Sans"/>
        <w:b/>
      </w:rPr>
    </w:pPr>
    <w:r>
      <w:rPr>
        <w:rFonts w:ascii="Open Sans" w:hAnsi="Open Sans" w:cs="Open Sans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9B47F" wp14:editId="628E181E">
              <wp:simplePos x="0" y="0"/>
              <wp:positionH relativeFrom="column">
                <wp:posOffset>-786517</wp:posOffset>
              </wp:positionH>
              <wp:positionV relativeFrom="paragraph">
                <wp:posOffset>255874</wp:posOffset>
              </wp:positionV>
              <wp:extent cx="7616283" cy="367990"/>
              <wp:effectExtent l="0" t="0" r="3810" b="635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283" cy="367990"/>
                      </a:xfrm>
                      <a:prstGeom prst="rect">
                        <a:avLst/>
                      </a:prstGeom>
                      <a:solidFill>
                        <a:srgbClr val="034C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4A2E12" id="Rettangolo 3" o:spid="_x0000_s1026" style="position:absolute;margin-left:-61.95pt;margin-top:20.15pt;width:599.7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" fillcolor="#034c84" stroked="f" strokeweight="1pt"/>
          </w:pict>
        </mc:Fallback>
      </mc:AlternateContent>
    </w:r>
    <w:r w:rsidR="00464DE2" w:rsidRPr="00464DE2">
      <w:rPr>
        <w:rFonts w:ascii="Open Sans" w:hAnsi="Open Sans" w:cs="Open Sans"/>
        <w:b/>
      </w:rPr>
      <w:t>#G20Empower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FC19" w14:textId="77777777" w:rsidR="00A827CB" w:rsidRDefault="00A827CB" w:rsidP="00464DE2">
      <w:pPr>
        <w:spacing w:before="0" w:line="240" w:lineRule="auto"/>
      </w:pPr>
      <w:r>
        <w:separator/>
      </w:r>
    </w:p>
  </w:footnote>
  <w:footnote w:type="continuationSeparator" w:id="0">
    <w:p w14:paraId="046DF6CB" w14:textId="77777777" w:rsidR="00A827CB" w:rsidRDefault="00A827CB" w:rsidP="00464DE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D6A4" w14:textId="77777777" w:rsidR="00464DE2" w:rsidRDefault="00464DE2">
    <w:pPr>
      <w:pStyle w:val="Intestazione"/>
    </w:pPr>
    <w:r>
      <w:rPr>
        <w:b/>
        <w:noProof/>
        <w:color w:val="E01B84"/>
        <w:sz w:val="22"/>
        <w:szCs w:val="22"/>
      </w:rPr>
      <w:drawing>
        <wp:inline distT="114300" distB="114300" distL="114300" distR="114300" wp14:anchorId="6684C614" wp14:editId="0EAFE53B">
          <wp:extent cx="2839641" cy="557213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9641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E2"/>
    <w:rsid w:val="000313B9"/>
    <w:rsid w:val="00095691"/>
    <w:rsid w:val="00102A23"/>
    <w:rsid w:val="001044DE"/>
    <w:rsid w:val="001B7EE2"/>
    <w:rsid w:val="001F6C46"/>
    <w:rsid w:val="00265ADC"/>
    <w:rsid w:val="00281C57"/>
    <w:rsid w:val="00393F9A"/>
    <w:rsid w:val="003E726A"/>
    <w:rsid w:val="00464DE2"/>
    <w:rsid w:val="00472758"/>
    <w:rsid w:val="004D3C06"/>
    <w:rsid w:val="006037D0"/>
    <w:rsid w:val="00612495"/>
    <w:rsid w:val="00641CCB"/>
    <w:rsid w:val="00650795"/>
    <w:rsid w:val="00665E37"/>
    <w:rsid w:val="0071472E"/>
    <w:rsid w:val="00784BAD"/>
    <w:rsid w:val="007D687F"/>
    <w:rsid w:val="007F6DC5"/>
    <w:rsid w:val="008357A4"/>
    <w:rsid w:val="00892162"/>
    <w:rsid w:val="00A35B3A"/>
    <w:rsid w:val="00A827CB"/>
    <w:rsid w:val="00B943F9"/>
    <w:rsid w:val="00CB0626"/>
    <w:rsid w:val="00D82F12"/>
    <w:rsid w:val="00F6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3EB14"/>
  <w15:chartTrackingRefBased/>
  <w15:docId w15:val="{B103FEDC-1A34-0047-83E8-DF26249E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C06"/>
    <w:pPr>
      <w:spacing w:before="200" w:line="335" w:lineRule="auto"/>
      <w:ind w:left="-15"/>
    </w:pPr>
    <w:rPr>
      <w:rFonts w:ascii="Roboto" w:eastAsia="Roboto" w:hAnsi="Roboto" w:cs="Roboto"/>
      <w:sz w:val="22"/>
      <w:szCs w:val="22"/>
      <w:lang w:val="en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4DE2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4DE2"/>
    <w:pPr>
      <w:tabs>
        <w:tab w:val="center" w:pos="4819"/>
        <w:tab w:val="right" w:pos="9638"/>
      </w:tabs>
      <w:spacing w:before="0" w:line="240" w:lineRule="auto"/>
      <w:ind w:left="0"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DE2"/>
  </w:style>
  <w:style w:type="paragraph" w:styleId="Pidipagina">
    <w:name w:val="footer"/>
    <w:basedOn w:val="Normale"/>
    <w:link w:val="PidipaginaCarattere"/>
    <w:uiPriority w:val="99"/>
    <w:unhideWhenUsed/>
    <w:rsid w:val="00464DE2"/>
    <w:pPr>
      <w:tabs>
        <w:tab w:val="center" w:pos="4819"/>
        <w:tab w:val="right" w:pos="9638"/>
      </w:tabs>
      <w:spacing w:before="0" w:line="240" w:lineRule="auto"/>
      <w:ind w:left="0"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DE2"/>
  </w:style>
  <w:style w:type="character" w:customStyle="1" w:styleId="Titolo1Carattere">
    <w:name w:val="Titolo 1 Carattere"/>
    <w:basedOn w:val="Carpredefinitoparagrafo"/>
    <w:link w:val="Titolo1"/>
    <w:uiPriority w:val="9"/>
    <w:rsid w:val="00464DE2"/>
    <w:rPr>
      <w:rFonts w:ascii="Roboto" w:eastAsia="Roboto" w:hAnsi="Roboto" w:cs="Roboto"/>
      <w:b/>
      <w:color w:val="6D64E8"/>
      <w:sz w:val="40"/>
      <w:szCs w:val="40"/>
      <w:lang w:val="en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A13E8B-B5F1-9947-B57F-0D4A5784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1176</Words>
  <Characters>6705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Prandi</cp:lastModifiedBy>
  <cp:revision>6</cp:revision>
  <dcterms:created xsi:type="dcterms:W3CDTF">2021-10-12T12:52:00Z</dcterms:created>
  <dcterms:modified xsi:type="dcterms:W3CDTF">2021-10-13T07:01:00Z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2021-10-12T12:52:11Z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2f47753f-022d-4a92-b899-03d16523c0f7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